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4A1" w:rsidRDefault="005A44A1">
      <w:pPr>
        <w:jc w:val="center"/>
        <w:rPr>
          <w:sz w:val="28"/>
          <w:szCs w:val="28"/>
        </w:rPr>
      </w:pPr>
    </w:p>
    <w:p w:rsidR="005A44A1" w:rsidRDefault="00881D4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реализации мероприятий по обеспечению жильём граждан из числа коренных малочисленных народов Севера, проживающих на территории автономного округа, признанных до 31 декабря 2014 года участниками подпрограмм, за 2023 год и отчетный период 2024 года</w:t>
      </w:r>
    </w:p>
    <w:p w:rsidR="005A44A1" w:rsidRDefault="005A44A1">
      <w:pPr>
        <w:jc w:val="center"/>
        <w:rPr>
          <w:sz w:val="28"/>
          <w:szCs w:val="28"/>
        </w:rPr>
      </w:pPr>
    </w:p>
    <w:p w:rsidR="005A44A1" w:rsidRDefault="005A44A1">
      <w:pPr>
        <w:jc w:val="center"/>
        <w:rPr>
          <w:sz w:val="28"/>
          <w:szCs w:val="28"/>
        </w:rPr>
      </w:pP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Ханты-Мансийский автономный округ – Югра является исконным местом проживания коренных малочисленных народов ханты, манси и ненцев.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Статьей 63 Устава (Основного закона) Ханты-Мансийского автономного округа – Югры (далее – автономный округа) установлены гарантии защиты прав коренных малочисленных народов, в том числе органы государственной власти автономного округа устанавливают и предоставляют коренным малочисленным народам меры социальной поддержки.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граждан из числа коренных малочисленных народов на улучшение жилищных условий в форме субсидии (социальной выплаты) на приобретение или строительство жилого помещения в собственность за счет средств бюджета автономного </w:t>
      </w:r>
      <w:proofErr w:type="gramStart"/>
      <w:r>
        <w:rPr>
          <w:sz w:val="28"/>
          <w:szCs w:val="28"/>
        </w:rPr>
        <w:t>округа  осуществляется</w:t>
      </w:r>
      <w:proofErr w:type="gramEnd"/>
      <w:r>
        <w:rPr>
          <w:sz w:val="28"/>
          <w:szCs w:val="28"/>
        </w:rPr>
        <w:t xml:space="preserve"> в Югре с 2006 года. 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поддержка оказывалась в рамках мероприятия «Обеспечение жильем граждан из числа коренных малочисленных народов автономного округа, признанных до 31 декабря 2014 года участниками подпрограмм» государственной программы Ханты-Мансийского автономного округа – Югры «Развитие жилищной сферы» (постановление Правительства автономного округа от 31.10.2021 № 476-п);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поддержка оказывалась в рамках комплекса процессных мероприятий «Оказание государственной поддержки отдельным категориям граждан на улучшение жилищных условий» подпрограммы «Создание условий для обеспечения жилыми помещениями </w:t>
      </w:r>
      <w:proofErr w:type="gramStart"/>
      <w:r>
        <w:rPr>
          <w:sz w:val="28"/>
          <w:szCs w:val="28"/>
        </w:rPr>
        <w:t>граждан»  государственной</w:t>
      </w:r>
      <w:proofErr w:type="gramEnd"/>
      <w:r>
        <w:rPr>
          <w:sz w:val="28"/>
          <w:szCs w:val="28"/>
        </w:rPr>
        <w:t xml:space="preserve"> программы автономного округа «Строительство» (постановление Правительства автономного округа от 10.11.2023 № 561-п).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субсидии на приобретение или строительство жилых помещений гражданам из числа коренных малочисленных народов в Ханты-Мансийском автономном округе – Югре, подавшим до 31 декабря 2014 года заявления на получение мер государственной поддержки, утвержден постановлением Правительства автономного округа от 29.12.2020 № 643-п «О мерах по реализации государственной программы Ханты-Мансийского автономного округа – Югры «Строительство».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Субсидия предоставляется гражданам из числа коренных малочисленных народов, подавшим до 31 декабря 2014 года заявления на получение мер государственной поддержки.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предоставляемой участникам государственной программы субсидии составляет до 100% расчетной стоимости жилья - для коренных </w:t>
      </w:r>
      <w:r>
        <w:rPr>
          <w:sz w:val="28"/>
          <w:szCs w:val="28"/>
        </w:rPr>
        <w:lastRenderedPageBreak/>
        <w:t xml:space="preserve">малочисленных народов, поставленных на учет до 31 декабря 2013 года, </w:t>
      </w:r>
      <w:proofErr w:type="gramStart"/>
      <w:r>
        <w:rPr>
          <w:sz w:val="28"/>
          <w:szCs w:val="28"/>
        </w:rPr>
        <w:t>и  до</w:t>
      </w:r>
      <w:proofErr w:type="gramEnd"/>
      <w:r>
        <w:rPr>
          <w:sz w:val="28"/>
          <w:szCs w:val="28"/>
        </w:rPr>
        <w:t xml:space="preserve"> 50% расчетной стоимости жилья - для коренных малочисленных народов, поставленных на учет в 2014 году. 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Субсидия может быть направлена: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первоначальный взнос при ипотечном кредитовании;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оплату договора приобретения жилого помещения;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погашение основной суммы долга по ипотечным жилищным кредитам (займам) на приобретение (строительство) жилого помещения; 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оплату расходов по строительству объекта индивидуального жилищного строительства.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2023 год и январь-октябрь 2024 года поддержку получили 255 семей (в том числе 9 участников специальной военной операции) или 100% от числа участников государственной программы, изъявивших желание получить субсидии и подтвердивших данное право, на общую сумму 1,089 млрд. рублей, в том числе: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107 семей на сумму 0,473 млрд. рублей;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148 семей на сумму 0,616 млрд. рублей.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приобретено 14060 кв. м общей стоимостью 1,235 млрд. рублей.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году: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приобретено с использованием субсидий участниками мероприятия 6554,68 кв. м жилья на общую сумму 531,715 млн. рублей;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средний размер площади приобретенного (построенного) жилья составил 61,3 кв. м;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средняя стоимость 1 кв. м приобретенного жилья составила 81,119 тыс. рублей;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размер предоставленной субсидии в 2023 году составил </w:t>
      </w:r>
      <w:r>
        <w:rPr>
          <w:sz w:val="28"/>
          <w:szCs w:val="28"/>
        </w:rPr>
        <w:br/>
        <w:t>4,6 млн. рублей - у коренных малочисленных народов, поставленных на учет до 31 декабря 2013 года, и 3,1 млн. рублей - у коренных малочисленных народов, поставленных на учет в 2014 году;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привлечено 58 млн. рублей внебюджетных источников.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 году: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приобретено с использованием субсидий участниками мероприятия 7505,32 кв. м жилья на общую сумму 703 млн. рублей;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средний размер площади приобретенного (построенного) жилья составил 50,7 кв. м;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средняя стоимость 1 кв. м приобретенного жилья составила 93,677 тыс. рублей;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размер предоставленной субсидии в 2024 году составил </w:t>
      </w:r>
      <w:r>
        <w:rPr>
          <w:sz w:val="28"/>
          <w:szCs w:val="28"/>
        </w:rPr>
        <w:br/>
        <w:t>4,5 млн. рублей - у коренных малочисленных народов, поставленных на учет до 31 декабря 2013 года, и 2,3 млн. рублей - у коренных малочисленных народов, поставленных на учет в 2014 году;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привлечено 86,96 млн. рублей внебюджетных источников (собственных или заемных средств).</w:t>
      </w:r>
    </w:p>
    <w:p w:rsidR="005A44A1" w:rsidRDefault="00881D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Информация о количестве семей, получивших субсидии в 2023, 2024 годах, по муниципальным образованиям автономного округа представлена в диаграмме 1. </w:t>
      </w:r>
    </w:p>
    <w:p w:rsidR="005A44A1" w:rsidRDefault="005A44A1">
      <w:pPr>
        <w:ind w:firstLine="567"/>
        <w:jc w:val="both"/>
        <w:rPr>
          <w:sz w:val="28"/>
          <w:szCs w:val="28"/>
        </w:rPr>
      </w:pPr>
    </w:p>
    <w:p w:rsidR="005A44A1" w:rsidRDefault="00881D4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Диаграмма 1. Информация о количестве семей, получивших субсидии в 2023, 2024 годах</w:t>
      </w:r>
    </w:p>
    <w:p w:rsidR="005A44A1" w:rsidRDefault="00881D49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661329" cy="4985468"/>
            <wp:effectExtent l="0" t="0" r="0" b="57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A44A1" w:rsidRDefault="005A44A1">
      <w:pPr>
        <w:ind w:firstLine="567"/>
        <w:jc w:val="both"/>
        <w:rPr>
          <w:sz w:val="28"/>
          <w:szCs w:val="28"/>
        </w:rPr>
      </w:pP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мероприятия субсидии в 2023-2024 годах использованы на следующие направления: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год: 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жилого помещения по договору купли-продажи – 96%, индивидуальное жилищное строительство – 2%, погашение части долга по ипотечному кредиту – 2%;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год: 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жилого помещения по договору купли-продажи – 94%, индивидуальное жилищное строительство – 1%, погашение части долга по ипотечному кредиту – 5%.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География приобретения жилых помещений представлена в диаграмма</w:t>
      </w:r>
      <w:r w:rsidR="00007C6A">
        <w:rPr>
          <w:sz w:val="28"/>
          <w:szCs w:val="28"/>
        </w:rPr>
        <w:t>х</w:t>
      </w:r>
      <w:r>
        <w:rPr>
          <w:sz w:val="28"/>
          <w:szCs w:val="28"/>
        </w:rPr>
        <w:t xml:space="preserve"> 2, 3.</w:t>
      </w:r>
    </w:p>
    <w:p w:rsidR="005A44A1" w:rsidRDefault="00881D4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Диаграмма 2</w:t>
      </w:r>
    </w:p>
    <w:p w:rsidR="005A44A1" w:rsidRDefault="00881D49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94066" cy="2608028"/>
            <wp:effectExtent l="0" t="0" r="0" b="1905"/>
            <wp:docPr id="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A44A1" w:rsidRDefault="00881D49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Диаграмма 3</w:t>
      </w:r>
    </w:p>
    <w:p w:rsidR="005A44A1" w:rsidRDefault="00881D49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33823" cy="2679590"/>
            <wp:effectExtent l="0" t="0" r="0" b="6985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общей площади приобретенного жилья в 2023-2024 годах приходится на город Ханты-Мансийск (3561,74 кв. м), Березовский муниципальный район (1638,9 кв. м), город Сургут (1340,36 кв. м</w:t>
      </w:r>
      <w:proofErr w:type="gramStart"/>
      <w:r>
        <w:rPr>
          <w:sz w:val="28"/>
          <w:szCs w:val="28"/>
        </w:rPr>
        <w:t>),  город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Урай</w:t>
      </w:r>
      <w:proofErr w:type="spellEnd"/>
      <w:r>
        <w:rPr>
          <w:sz w:val="28"/>
          <w:szCs w:val="28"/>
        </w:rPr>
        <w:t xml:space="preserve"> (1092,8 кв. м), Белоярский муниципальный район (1033,4 кв. м).</w:t>
      </w:r>
    </w:p>
    <w:p w:rsidR="005A44A1" w:rsidRDefault="00881D49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период реализации программы (2006-2024 годы) предоставлено 5030 субсидий на 12,58 млрд. рублей.</w:t>
      </w:r>
    </w:p>
    <w:p w:rsidR="005A44A1" w:rsidRDefault="00881D49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Информация о количестве семей, поставленных на учет, и количестве предоставленных субсидий, представлена в диаграмме 4. </w:t>
      </w:r>
    </w:p>
    <w:p w:rsidR="005A44A1" w:rsidRDefault="005A44A1">
      <w:pPr>
        <w:ind w:firstLine="851"/>
        <w:jc w:val="both"/>
        <w:rPr>
          <w:bCs/>
          <w:sz w:val="28"/>
          <w:szCs w:val="28"/>
        </w:rPr>
      </w:pPr>
    </w:p>
    <w:p w:rsidR="005A44A1" w:rsidRDefault="00881D49">
      <w:pPr>
        <w:ind w:firstLine="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Диаграмма 4. Информация о количестве семей, поставленных на учет, и количестве предоставленных субсидий</w:t>
      </w:r>
    </w:p>
    <w:p w:rsidR="005A44A1" w:rsidRDefault="00881D49">
      <w:pPr>
        <w:jc w:val="center"/>
      </w:pPr>
      <w:r>
        <w:rPr>
          <w:noProof/>
        </w:rPr>
        <w:lastRenderedPageBreak/>
        <w:drawing>
          <wp:inline distT="0" distB="0" distL="0" distR="0">
            <wp:extent cx="6027089" cy="2337683"/>
            <wp:effectExtent l="0" t="0" r="0" b="5715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A44A1" w:rsidRDefault="00881D49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Информация об объемах финансирования и количестве получателей субсидий по годам представлена в таблице 1.</w:t>
      </w:r>
    </w:p>
    <w:p w:rsidR="005A44A1" w:rsidRDefault="005A44A1">
      <w:pPr>
        <w:ind w:firstLine="851"/>
        <w:jc w:val="both"/>
        <w:rPr>
          <w:bCs/>
          <w:sz w:val="28"/>
          <w:szCs w:val="28"/>
        </w:rPr>
      </w:pPr>
    </w:p>
    <w:p w:rsidR="005A44A1" w:rsidRDefault="00881D4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Информация </w:t>
      </w:r>
    </w:p>
    <w:p w:rsidR="005A44A1" w:rsidRDefault="00881D4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объемах финансирования и количестве получателей субсидий </w:t>
      </w:r>
    </w:p>
    <w:p w:rsidR="005A44A1" w:rsidRDefault="00881D49">
      <w:pPr>
        <w:widowControl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1277"/>
        <w:gridCol w:w="1419"/>
        <w:gridCol w:w="1559"/>
        <w:gridCol w:w="1417"/>
        <w:gridCol w:w="1418"/>
        <w:gridCol w:w="1417"/>
      </w:tblGrid>
      <w:tr w:rsidR="005A44A1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5A44A1" w:rsidRDefault="005A44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поддержки гражданам из числа коренных малочисленных народов</w:t>
            </w:r>
          </w:p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</w:t>
            </w:r>
          </w:p>
        </w:tc>
      </w:tr>
      <w:tr w:rsidR="005A44A1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A1" w:rsidRDefault="005A44A1"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A1" w:rsidRDefault="005A44A1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вставшим на учет до 31.12.2013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вставшим на учет в 2014 году</w:t>
            </w:r>
          </w:p>
        </w:tc>
      </w:tr>
      <w:tr w:rsidR="005A44A1">
        <w:trPr>
          <w:trHeight w:val="1122"/>
        </w:trPr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A1" w:rsidRDefault="005A44A1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средств, млн.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субсидий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средств,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субсидий (выплат)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средств,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субсидий</w:t>
            </w:r>
          </w:p>
          <w:p w:rsidR="005A44A1" w:rsidRDefault="00881D4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(выплат)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2012 год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5A44A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1254,64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1938,59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1675,68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616,127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A44A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12575,357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12275,009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A1" w:rsidRDefault="00881D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</w:tr>
    </w:tbl>
    <w:p w:rsidR="005A44A1" w:rsidRDefault="00881D49">
      <w:pPr>
        <w:jc w:val="both"/>
        <w:rPr>
          <w:sz w:val="20"/>
          <w:szCs w:val="20"/>
        </w:rPr>
      </w:pPr>
      <w:r>
        <w:rPr>
          <w:sz w:val="20"/>
          <w:szCs w:val="20"/>
        </w:rPr>
        <w:t>*в том числе 21 единовременная денежная выплата в объеме 52,3 млн. рублей в соответствии распоряжением Правительства автономного округа от 5 июля 2019 года № 354-рп</w:t>
      </w:r>
    </w:p>
    <w:p w:rsidR="005A44A1" w:rsidRDefault="005A44A1">
      <w:pPr>
        <w:ind w:firstLine="851"/>
        <w:jc w:val="both"/>
        <w:rPr>
          <w:sz w:val="28"/>
          <w:szCs w:val="28"/>
        </w:rPr>
      </w:pP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начала реализации мероприятия по предоставлению субсидий гражданам из числа коренных малочисленных народов число его участников сократилось на 6 519 семей (99,9%)</w:t>
      </w:r>
      <w:r>
        <w:rPr>
          <w:rStyle w:val="af5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6 519 семей: 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5030 семьи (77,2%) получили субсидии на приобретение или строительство жилья; 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1 489 семей (22,8%) сняты с учета по различным основаниям (утрата нуждаемости в жилых помещениях, получение иных видов поддержки, выезд за пределы автономного округа, отказ от субсидии и др.). </w:t>
      </w:r>
    </w:p>
    <w:p w:rsidR="005A44A1" w:rsidRDefault="00881D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снятии с учета участников государственной программы в 2023-2024 годах в разрезе оснований представлена в приложении.</w:t>
      </w:r>
    </w:p>
    <w:p w:rsidR="005A44A1" w:rsidRDefault="00881D49" w:rsidP="0094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2023-2024 годах Правительством автономного округа принят ряд решений, направленных на повышение эффективности расширение поддержки участников государственной программы из числа коренных малочисленных народов и повышение:</w:t>
      </w:r>
    </w:p>
    <w:p w:rsidR="005A44A1" w:rsidRDefault="00881D49" w:rsidP="00945BD3">
      <w:pPr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установлено первоочередное право на предоставление субсидии участникам специальной военной операции (постановление Правительства автономного округа от 09.09.2023 № 450-п);</w:t>
      </w:r>
    </w:p>
    <w:p w:rsidR="005A44A1" w:rsidRDefault="00881D49" w:rsidP="0094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и 2024 год утвержден объем </w:t>
      </w:r>
      <w:proofErr w:type="gramStart"/>
      <w:r>
        <w:rPr>
          <w:sz w:val="28"/>
          <w:szCs w:val="28"/>
        </w:rPr>
        <w:t>средств,  обеспечивающий</w:t>
      </w:r>
      <w:proofErr w:type="gramEnd"/>
      <w:r>
        <w:rPr>
          <w:sz w:val="28"/>
          <w:szCs w:val="28"/>
        </w:rPr>
        <w:t xml:space="preserve"> 100% исполнение обязательств перед участниками государственной программы из числа коренных малочисленных народов, изъявивших желание получить субсидию в конкретном году и соответствующих условиям программы;</w:t>
      </w:r>
    </w:p>
    <w:p w:rsidR="005A44A1" w:rsidRDefault="00881D49" w:rsidP="0094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было приостановлено до 31 декабря 2023 года действи</w:t>
      </w:r>
      <w:r w:rsidR="00007C6A">
        <w:rPr>
          <w:sz w:val="28"/>
          <w:szCs w:val="28"/>
        </w:rPr>
        <w:t>е</w:t>
      </w:r>
      <w:r>
        <w:rPr>
          <w:sz w:val="28"/>
          <w:szCs w:val="28"/>
        </w:rPr>
        <w:t xml:space="preserve"> отдельных норм, предусматривающих снятие с учета участников мероприятия, не реализовавших в 2022, 2023 год</w:t>
      </w:r>
      <w:r w:rsidR="00945BD3">
        <w:rPr>
          <w:sz w:val="28"/>
          <w:szCs w:val="28"/>
        </w:rPr>
        <w:t>ах</w:t>
      </w:r>
      <w:r>
        <w:rPr>
          <w:sz w:val="28"/>
          <w:szCs w:val="28"/>
        </w:rPr>
        <w:t xml:space="preserve"> право на получение государственной поддержки (постановлением Правительства автономного округа от 20.05.2022 № 208-п, п</w:t>
      </w:r>
      <w:r>
        <w:rPr>
          <w:bCs/>
          <w:iCs/>
          <w:sz w:val="28"/>
          <w:szCs w:val="28"/>
        </w:rPr>
        <w:t>остановлением Правительства автономного округа от 03.03.2023 № 69-п</w:t>
      </w:r>
      <w:r>
        <w:rPr>
          <w:sz w:val="28"/>
          <w:szCs w:val="28"/>
        </w:rPr>
        <w:t>);</w:t>
      </w:r>
    </w:p>
    <w:p w:rsidR="005A44A1" w:rsidRDefault="00881D49" w:rsidP="00945BD3">
      <w:pPr>
        <w:ind w:firstLine="851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изменен подход к расчету субсидии для участников мероприятия, имеющих в собственности жилые помещения, признанные непригодными для проживания, вычитается кадастровая стоимость помещения (ранее вычиталась общая площадь жилого помещения) (п</w:t>
      </w:r>
      <w:r>
        <w:rPr>
          <w:bCs/>
          <w:iCs/>
          <w:sz w:val="28"/>
          <w:szCs w:val="28"/>
        </w:rPr>
        <w:t>остановление Правительства автономного округа от 03.03.2023 № 69-п)</w:t>
      </w:r>
      <w:r>
        <w:rPr>
          <w:sz w:val="28"/>
          <w:szCs w:val="28"/>
        </w:rPr>
        <w:t xml:space="preserve">. </w:t>
      </w:r>
    </w:p>
    <w:p w:rsidR="005A44A1" w:rsidRDefault="005A44A1">
      <w:pPr>
        <w:ind w:firstLine="708"/>
        <w:jc w:val="both"/>
        <w:rPr>
          <w:sz w:val="28"/>
          <w:szCs w:val="28"/>
        </w:rPr>
      </w:pPr>
    </w:p>
    <w:p w:rsidR="005A44A1" w:rsidRDefault="005A44A1">
      <w:pPr>
        <w:jc w:val="right"/>
        <w:rPr>
          <w:sz w:val="28"/>
          <w:szCs w:val="28"/>
        </w:rPr>
      </w:pPr>
    </w:p>
    <w:p w:rsidR="005A44A1" w:rsidRDefault="005A44A1">
      <w:pPr>
        <w:jc w:val="right"/>
        <w:rPr>
          <w:sz w:val="28"/>
          <w:szCs w:val="28"/>
        </w:rPr>
      </w:pPr>
    </w:p>
    <w:p w:rsidR="005A44A1" w:rsidRDefault="005A44A1">
      <w:pPr>
        <w:jc w:val="right"/>
        <w:rPr>
          <w:sz w:val="28"/>
          <w:szCs w:val="28"/>
        </w:rPr>
      </w:pPr>
    </w:p>
    <w:p w:rsidR="009647AA" w:rsidRDefault="009647AA">
      <w:pPr>
        <w:jc w:val="right"/>
        <w:rPr>
          <w:sz w:val="28"/>
          <w:szCs w:val="28"/>
        </w:rPr>
      </w:pPr>
    </w:p>
    <w:p w:rsidR="005A44A1" w:rsidRDefault="005A44A1">
      <w:pPr>
        <w:jc w:val="right"/>
        <w:rPr>
          <w:sz w:val="28"/>
          <w:szCs w:val="28"/>
        </w:rPr>
      </w:pPr>
    </w:p>
    <w:p w:rsidR="005A44A1" w:rsidRDefault="00881D4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5A44A1" w:rsidRDefault="005A44A1">
      <w:pPr>
        <w:jc w:val="right"/>
        <w:rPr>
          <w:sz w:val="28"/>
          <w:szCs w:val="28"/>
        </w:rPr>
      </w:pPr>
    </w:p>
    <w:p w:rsidR="005A44A1" w:rsidRDefault="00881D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снятии с учета граждан - участников мероприятия по обеспечению жильем граждан </w:t>
      </w:r>
      <w:bookmarkStart w:id="0" w:name="_GoBack"/>
      <w:bookmarkEnd w:id="0"/>
      <w:r>
        <w:rPr>
          <w:sz w:val="28"/>
          <w:szCs w:val="28"/>
        </w:rPr>
        <w:t>из числа коренных малочисленных народов в 2023-2024 годах</w:t>
      </w:r>
    </w:p>
    <w:p w:rsidR="005A44A1" w:rsidRDefault="005A44A1">
      <w:pPr>
        <w:jc w:val="center"/>
        <w:rPr>
          <w:sz w:val="21"/>
          <w:szCs w:val="21"/>
        </w:rPr>
      </w:pPr>
    </w:p>
    <w:tbl>
      <w:tblPr>
        <w:tblW w:w="9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503"/>
        <w:gridCol w:w="1417"/>
        <w:gridCol w:w="742"/>
        <w:gridCol w:w="959"/>
        <w:gridCol w:w="850"/>
        <w:gridCol w:w="851"/>
      </w:tblGrid>
      <w:tr w:rsidR="005A44A1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Основания для снятия с учета на получение субсидии и исключения участников мероприятия из списка, установленные порядком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Ссылка на норму порядка</w:t>
            </w:r>
            <w:r>
              <w:rPr>
                <w:rStyle w:val="af5"/>
                <w:sz w:val="20"/>
                <w:szCs w:val="20"/>
                <w:lang w:eastAsia="en-US"/>
              </w:rPr>
              <w:footnoteReference w:id="2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Снятие с учета в 2023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Снятие с учета в 2024</w:t>
            </w:r>
          </w:p>
        </w:tc>
      </w:tr>
      <w:tr w:rsidR="005A44A1">
        <w:trPr>
          <w:trHeight w:val="589"/>
        </w:trPr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5A44A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4A1" w:rsidRDefault="005A44A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4A1" w:rsidRDefault="005A44A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кол-во семей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доля от общего кол-ва снятых с учета (%)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кол-во семей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доля от общего кол-ва снятых с учета (%)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Подача участником мероприятия заявления о снятии с учета на получение субсидии и исключении из списка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7.1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28.2 п. 28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Утрата оснований, дающих участнику мероприятия право на получение субсидии (за исключением утраты нуждаемости в связи с приобретением жилых помещений в целях получения субсидии в соответствии с порядком)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7.2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28.5 п. 28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240</w:t>
            </w:r>
          </w:p>
          <w:p w:rsidR="005A44A1" w:rsidRDefault="005A44A1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46,3%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4,8</w:t>
            </w:r>
            <w:r>
              <w:rPr>
                <w:sz w:val="20"/>
                <w:szCs w:val="20"/>
                <w:highlight w:val="white"/>
                <w:lang w:eastAsia="en-US"/>
              </w:rPr>
              <w:t>%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Получение участником мероприятия и членами семьи меры поддержки по мероприятию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7.4, 7.5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28.4 п. 28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107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20,7%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64,4%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Получение участником мероприятия и (или) членами семьи мер государственной поддержки из бюджетов всех уровней, направленных на улучшение жилищных условий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7.4, 7.5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28.4 п. 28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55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10,</w:t>
            </w:r>
            <w:r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highlight w:val="white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0,4%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Выезд участника мероприятия в другой субъект Российской Федерации на постоянное место жительства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7.6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28.1 п. 28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46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8,9%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0,4%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Отказ в предоставлении субсидии, принятых на основании пунктов 19, 42 порядка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7.8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28.8 п. 28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0,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highlight w:val="white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Непредставление документов о приобретении жилого помещения в целях получения субсидии в период действия уведомления о возникновении права на получение субсидии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7.9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28.6 п. 28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17,2</w:t>
            </w:r>
            <w:r>
              <w:rPr>
                <w:sz w:val="20"/>
                <w:szCs w:val="20"/>
                <w:highlight w:val="white"/>
                <w:lang w:eastAsia="en-US"/>
              </w:rPr>
              <w:t>%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Письменный отказ от получения субсидии или неоднократное (дважды) неполучение уведомления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7.10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>. 28.7 п. 28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12,8%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Смерть участника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 xml:space="preserve">. 7.11 п. 7, </w:t>
            </w:r>
          </w:p>
          <w:p w:rsidR="005A44A1" w:rsidRDefault="00881D49">
            <w:pPr>
              <w:rPr>
                <w:sz w:val="20"/>
                <w:szCs w:val="20"/>
                <w:lang w:eastAsia="zh-CN"/>
              </w:rPr>
            </w:pPr>
            <w:proofErr w:type="spellStart"/>
            <w:r>
              <w:rPr>
                <w:sz w:val="20"/>
                <w:szCs w:val="20"/>
                <w:lang w:eastAsia="zh-CN"/>
              </w:rPr>
              <w:t>пп</w:t>
            </w:r>
            <w:proofErr w:type="spellEnd"/>
            <w:r>
              <w:rPr>
                <w:sz w:val="20"/>
                <w:szCs w:val="20"/>
                <w:lang w:eastAsia="zh-CN"/>
              </w:rPr>
              <w:t>. 28.3 п. 28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13,</w:t>
            </w:r>
            <w:r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highlight w:val="white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-</w:t>
            </w:r>
          </w:p>
        </w:tc>
      </w:tr>
      <w:tr w:rsidR="005A44A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5A44A1">
            <w:pPr>
              <w:tabs>
                <w:tab w:val="left" w:pos="567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5A44A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518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5A44A1">
            <w:pPr>
              <w:tabs>
                <w:tab w:val="left" w:pos="567"/>
              </w:tabs>
              <w:jc w:val="center"/>
              <w:rPr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881D49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4A1" w:rsidRDefault="005A44A1">
            <w:pPr>
              <w:jc w:val="center"/>
              <w:rPr>
                <w:sz w:val="20"/>
                <w:szCs w:val="20"/>
                <w:highlight w:val="white"/>
                <w:lang w:eastAsia="zh-CN"/>
              </w:rPr>
            </w:pPr>
          </w:p>
        </w:tc>
      </w:tr>
    </w:tbl>
    <w:p w:rsidR="005A44A1" w:rsidRDefault="005A44A1">
      <w:pPr>
        <w:rPr>
          <w:sz w:val="21"/>
          <w:szCs w:val="21"/>
        </w:rPr>
      </w:pPr>
    </w:p>
    <w:p w:rsidR="005A44A1" w:rsidRDefault="005A44A1">
      <w:pPr>
        <w:jc w:val="right"/>
        <w:rPr>
          <w:sz w:val="28"/>
          <w:szCs w:val="28"/>
        </w:rPr>
      </w:pPr>
    </w:p>
    <w:p w:rsidR="005A44A1" w:rsidRDefault="005A44A1">
      <w:pPr>
        <w:jc w:val="right"/>
        <w:rPr>
          <w:sz w:val="28"/>
          <w:szCs w:val="28"/>
        </w:rPr>
      </w:pPr>
    </w:p>
    <w:p w:rsidR="005A44A1" w:rsidRDefault="005A44A1">
      <w:pPr>
        <w:jc w:val="right"/>
        <w:rPr>
          <w:sz w:val="28"/>
          <w:szCs w:val="28"/>
        </w:rPr>
      </w:pPr>
    </w:p>
    <w:sectPr w:rsidR="005A44A1" w:rsidSect="00007C6A">
      <w:headerReference w:type="default" r:id="rId11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79A" w:rsidRDefault="000B579A">
      <w:r>
        <w:separator/>
      </w:r>
    </w:p>
  </w:endnote>
  <w:endnote w:type="continuationSeparator" w:id="0">
    <w:p w:rsidR="000B579A" w:rsidRDefault="000B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79A" w:rsidRDefault="000B579A">
      <w:r>
        <w:separator/>
      </w:r>
    </w:p>
  </w:footnote>
  <w:footnote w:type="continuationSeparator" w:id="0">
    <w:p w:rsidR="000B579A" w:rsidRDefault="000B579A">
      <w:r>
        <w:continuationSeparator/>
      </w:r>
    </w:p>
  </w:footnote>
  <w:footnote w:id="1">
    <w:p w:rsidR="005A44A1" w:rsidRDefault="00881D49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bCs/>
          <w:sz w:val="22"/>
          <w:szCs w:val="22"/>
        </w:rPr>
        <w:t>В списке участников мероприятия по состоянию на 01.11.2024 значится 1 семья составом 4 человека, имеющая уведомление о праве на субсидию со сроком действия до 22.12.2024.</w:t>
      </w:r>
    </w:p>
  </w:footnote>
  <w:footnote w:id="2">
    <w:p w:rsidR="005A44A1" w:rsidRDefault="00881D49">
      <w:pPr>
        <w:pStyle w:val="af3"/>
        <w:jc w:val="both"/>
        <w:rPr>
          <w:sz w:val="16"/>
          <w:szCs w:val="16"/>
        </w:rPr>
      </w:pPr>
      <w:r>
        <w:rPr>
          <w:rStyle w:val="af5"/>
        </w:rPr>
        <w:footnoteRef/>
      </w:r>
      <w:r>
        <w:t xml:space="preserve"> </w:t>
      </w:r>
      <w:r>
        <w:rPr>
          <w:sz w:val="16"/>
          <w:szCs w:val="16"/>
        </w:rPr>
        <w:t>Порядок предоставления субсидии на приобретение или строительство жилых помещений гражданам из числа коренных малочисленных народов в Ханты-Мансийском автономном округе - Югре, подавшим до 31 декабря 2014 года заявления на получение мер государственной поддержки, утверждённый постановлением Правительства автономного округа от 29.12.2020 №</w:t>
      </w:r>
      <w:r w:rsidR="00007C6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643-п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0490222"/>
      <w:docPartObj>
        <w:docPartGallery w:val="Page Numbers (Top of Page)"/>
        <w:docPartUnique/>
      </w:docPartObj>
    </w:sdtPr>
    <w:sdtContent>
      <w:p w:rsidR="00007C6A" w:rsidRDefault="00007C6A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845">
          <w:rPr>
            <w:noProof/>
          </w:rPr>
          <w:t>6</w:t>
        </w:r>
        <w:r>
          <w:fldChar w:fldCharType="end"/>
        </w:r>
      </w:p>
    </w:sdtContent>
  </w:sdt>
  <w:p w:rsidR="00007C6A" w:rsidRDefault="00007C6A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A1"/>
    <w:rsid w:val="00007C6A"/>
    <w:rsid w:val="000B579A"/>
    <w:rsid w:val="000D5845"/>
    <w:rsid w:val="005A44A1"/>
    <w:rsid w:val="00881D49"/>
    <w:rsid w:val="00945BD3"/>
    <w:rsid w:val="009647AA"/>
    <w:rsid w:val="00CA697F"/>
    <w:rsid w:val="00D4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35BB5"/>
  <w15:docId w15:val="{203EA180-A12A-4BEC-BF51-AABE99B4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footnote text"/>
    <w:basedOn w:val="a"/>
    <w:link w:val="af4"/>
    <w:uiPriority w:val="99"/>
    <w:semiHidden/>
    <w:unhideWhenUsed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semiHidden/>
    <w:unhideWhenUsed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Лист1!$A$2:$A$21</c:f>
              <c:strCache>
                <c:ptCount val="20"/>
                <c:pt idx="0">
                  <c:v>Белоярский МР</c:v>
                </c:pt>
                <c:pt idx="1">
                  <c:v>Кондинский МР</c:v>
                </c:pt>
                <c:pt idx="2">
                  <c:v>Ханты-Мансийский МР</c:v>
                </c:pt>
                <c:pt idx="3">
                  <c:v>Нижневартовский МР</c:v>
                </c:pt>
                <c:pt idx="4">
                  <c:v>Нефтеюганский район</c:v>
                </c:pt>
                <c:pt idx="5">
                  <c:v>Сургутский МР</c:v>
                </c:pt>
                <c:pt idx="6">
                  <c:v>Березовский МР</c:v>
                </c:pt>
                <c:pt idx="7">
                  <c:v>Октябрьский МР</c:v>
                </c:pt>
                <c:pt idx="8">
                  <c:v>Советский МР</c:v>
                </c:pt>
                <c:pt idx="9">
                  <c:v>Ханты-Мансийск</c:v>
                </c:pt>
                <c:pt idx="10">
                  <c:v>Урай</c:v>
                </c:pt>
                <c:pt idx="11">
                  <c:v>Нижневартовск</c:v>
                </c:pt>
                <c:pt idx="12">
                  <c:v>Нефтеюганск</c:v>
                </c:pt>
                <c:pt idx="13">
                  <c:v>Сургут</c:v>
                </c:pt>
                <c:pt idx="14">
                  <c:v>Лангепас</c:v>
                </c:pt>
                <c:pt idx="15">
                  <c:v>Радужный</c:v>
                </c:pt>
                <c:pt idx="16">
                  <c:v>Нягань</c:v>
                </c:pt>
                <c:pt idx="17">
                  <c:v>Югорск</c:v>
                </c:pt>
                <c:pt idx="18">
                  <c:v>Покачи</c:v>
                </c:pt>
                <c:pt idx="19">
                  <c:v>Колагым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12</c:v>
                </c:pt>
                <c:pt idx="1">
                  <c:v>18</c:v>
                </c:pt>
                <c:pt idx="2">
                  <c:v>8</c:v>
                </c:pt>
                <c:pt idx="3">
                  <c:v>4</c:v>
                </c:pt>
                <c:pt idx="4">
                  <c:v>2</c:v>
                </c:pt>
                <c:pt idx="5">
                  <c:v>13</c:v>
                </c:pt>
                <c:pt idx="6">
                  <c:v>25</c:v>
                </c:pt>
                <c:pt idx="7">
                  <c:v>6</c:v>
                </c:pt>
                <c:pt idx="8">
                  <c:v>0</c:v>
                </c:pt>
                <c:pt idx="9">
                  <c:v>5</c:v>
                </c:pt>
                <c:pt idx="10">
                  <c:v>4</c:v>
                </c:pt>
                <c:pt idx="11">
                  <c:v>2</c:v>
                </c:pt>
                <c:pt idx="12">
                  <c:v>0</c:v>
                </c:pt>
                <c:pt idx="13">
                  <c:v>2</c:v>
                </c:pt>
                <c:pt idx="14">
                  <c:v>0</c:v>
                </c:pt>
                <c:pt idx="15">
                  <c:v>2</c:v>
                </c:pt>
                <c:pt idx="16">
                  <c:v>2</c:v>
                </c:pt>
                <c:pt idx="17">
                  <c:v>0</c:v>
                </c:pt>
                <c:pt idx="18">
                  <c:v>1</c:v>
                </c:pt>
                <c:pt idx="1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3E-47F0-97D3-E9E68A5EF18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Лист1!$A$2:$A$21</c:f>
              <c:strCache>
                <c:ptCount val="20"/>
                <c:pt idx="0">
                  <c:v>Белоярский МР</c:v>
                </c:pt>
                <c:pt idx="1">
                  <c:v>Кондинский МР</c:v>
                </c:pt>
                <c:pt idx="2">
                  <c:v>Ханты-Мансийский МР</c:v>
                </c:pt>
                <c:pt idx="3">
                  <c:v>Нижневартовский МР</c:v>
                </c:pt>
                <c:pt idx="4">
                  <c:v>Нефтеюганский район</c:v>
                </c:pt>
                <c:pt idx="5">
                  <c:v>Сургутский МР</c:v>
                </c:pt>
                <c:pt idx="6">
                  <c:v>Березовский МР</c:v>
                </c:pt>
                <c:pt idx="7">
                  <c:v>Октябрьский МР</c:v>
                </c:pt>
                <c:pt idx="8">
                  <c:v>Советский МР</c:v>
                </c:pt>
                <c:pt idx="9">
                  <c:v>Ханты-Мансийск</c:v>
                </c:pt>
                <c:pt idx="10">
                  <c:v>Урай</c:v>
                </c:pt>
                <c:pt idx="11">
                  <c:v>Нижневартовск</c:v>
                </c:pt>
                <c:pt idx="12">
                  <c:v>Нефтеюганск</c:v>
                </c:pt>
                <c:pt idx="13">
                  <c:v>Сургут</c:v>
                </c:pt>
                <c:pt idx="14">
                  <c:v>Лангепас</c:v>
                </c:pt>
                <c:pt idx="15">
                  <c:v>Радужный</c:v>
                </c:pt>
                <c:pt idx="16">
                  <c:v>Нягань</c:v>
                </c:pt>
                <c:pt idx="17">
                  <c:v>Югорск</c:v>
                </c:pt>
                <c:pt idx="18">
                  <c:v>Покачи</c:v>
                </c:pt>
                <c:pt idx="19">
                  <c:v>Колагым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9</c:v>
                </c:pt>
                <c:pt idx="1">
                  <c:v>18</c:v>
                </c:pt>
                <c:pt idx="2">
                  <c:v>11</c:v>
                </c:pt>
                <c:pt idx="3">
                  <c:v>11</c:v>
                </c:pt>
                <c:pt idx="4">
                  <c:v>0</c:v>
                </c:pt>
                <c:pt idx="5">
                  <c:v>9</c:v>
                </c:pt>
                <c:pt idx="6">
                  <c:v>23</c:v>
                </c:pt>
                <c:pt idx="7">
                  <c:v>10</c:v>
                </c:pt>
                <c:pt idx="8">
                  <c:v>2</c:v>
                </c:pt>
                <c:pt idx="9">
                  <c:v>22</c:v>
                </c:pt>
                <c:pt idx="10">
                  <c:v>11</c:v>
                </c:pt>
                <c:pt idx="11">
                  <c:v>6</c:v>
                </c:pt>
                <c:pt idx="12">
                  <c:v>5</c:v>
                </c:pt>
                <c:pt idx="13">
                  <c:v>4</c:v>
                </c:pt>
                <c:pt idx="14">
                  <c:v>2</c:v>
                </c:pt>
                <c:pt idx="15">
                  <c:v>2</c:v>
                </c:pt>
                <c:pt idx="16">
                  <c:v>2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33E-47F0-97D3-E9E68A5EF1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3916032"/>
        <c:axId val="163917824"/>
      </c:barChart>
      <c:catAx>
        <c:axId val="163916032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crossAx val="163917824"/>
        <c:crosses val="autoZero"/>
        <c:auto val="1"/>
        <c:lblAlgn val="ctr"/>
        <c:lblOffset val="100"/>
        <c:noMultiLvlLbl val="0"/>
      </c:catAx>
      <c:valAx>
        <c:axId val="1639178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639160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prstGeom prst="rect">
      <a:avLst/>
    </a:prstGeom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2023 год</a:t>
            </a:r>
            <a:endParaRPr lang="ru-RU"/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Лист1!$A$2:$A$18</c:f>
              <c:strCache>
                <c:ptCount val="17"/>
                <c:pt idx="0">
                  <c:v>Нягань</c:v>
                </c:pt>
                <c:pt idx="1">
                  <c:v>Белоярский МР</c:v>
                </c:pt>
                <c:pt idx="2">
                  <c:v>Березовский МР</c:v>
                </c:pt>
                <c:pt idx="3">
                  <c:v>Когалым</c:v>
                </c:pt>
                <c:pt idx="4">
                  <c:v>Лангепас</c:v>
                </c:pt>
                <c:pt idx="5">
                  <c:v>Мегион</c:v>
                </c:pt>
                <c:pt idx="6">
                  <c:v>Нефтеюганск</c:v>
                </c:pt>
                <c:pt idx="7">
                  <c:v>Нижневартовск</c:v>
                </c:pt>
                <c:pt idx="8">
                  <c:v>Сургут</c:v>
                </c:pt>
                <c:pt idx="9">
                  <c:v>Урай</c:v>
                </c:pt>
                <c:pt idx="10">
                  <c:v>Ханты-Мансийск</c:v>
                </c:pt>
                <c:pt idx="11">
                  <c:v>Кондинский МР</c:v>
                </c:pt>
                <c:pt idx="12">
                  <c:v>Нефтеюганский МР</c:v>
                </c:pt>
                <c:pt idx="13">
                  <c:v>Нижневартовский МР</c:v>
                </c:pt>
                <c:pt idx="14">
                  <c:v>Октябрьский МР</c:v>
                </c:pt>
                <c:pt idx="15">
                  <c:v>Сургутский МР</c:v>
                </c:pt>
                <c:pt idx="16">
                  <c:v>Ханты-Мансийский МР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244.2</c:v>
                </c:pt>
                <c:pt idx="1">
                  <c:v>795.2</c:v>
                </c:pt>
                <c:pt idx="2">
                  <c:v>1006.9</c:v>
                </c:pt>
                <c:pt idx="3">
                  <c:v>165</c:v>
                </c:pt>
                <c:pt idx="4">
                  <c:v>100.3</c:v>
                </c:pt>
                <c:pt idx="5">
                  <c:v>39.1</c:v>
                </c:pt>
                <c:pt idx="6">
                  <c:v>66.900000000000006</c:v>
                </c:pt>
                <c:pt idx="7">
                  <c:v>131.6</c:v>
                </c:pt>
                <c:pt idx="8">
                  <c:v>689.84</c:v>
                </c:pt>
                <c:pt idx="9">
                  <c:v>505.1</c:v>
                </c:pt>
                <c:pt idx="10">
                  <c:v>1286.8399999999999</c:v>
                </c:pt>
                <c:pt idx="11">
                  <c:v>646</c:v>
                </c:pt>
                <c:pt idx="12">
                  <c:v>150.6</c:v>
                </c:pt>
                <c:pt idx="13">
                  <c:v>77.400000000000006</c:v>
                </c:pt>
                <c:pt idx="14">
                  <c:v>146.6</c:v>
                </c:pt>
                <c:pt idx="15">
                  <c:v>383</c:v>
                </c:pt>
                <c:pt idx="16">
                  <c:v>120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F5-467E-8EB8-106A68DDFD7A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prstGeom prst="rect">
      <a:avLst/>
    </a:prstGeom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2024</a:t>
            </a:r>
            <a:r>
              <a:rPr lang="ru-RU" sz="1400"/>
              <a:t> год</a:t>
            </a:r>
            <a:endParaRPr lang="en-US" sz="1400"/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2024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Лист1!$A$2:$A$19</c:f>
              <c:strCache>
                <c:ptCount val="18"/>
                <c:pt idx="0">
                  <c:v>Нягань</c:v>
                </c:pt>
                <c:pt idx="1">
                  <c:v>Белоярский МР</c:v>
                </c:pt>
                <c:pt idx="2">
                  <c:v>Березовский МР</c:v>
                </c:pt>
                <c:pt idx="3">
                  <c:v>Лангепас</c:v>
                </c:pt>
                <c:pt idx="4">
                  <c:v>Мегион</c:v>
                </c:pt>
                <c:pt idx="5">
                  <c:v>Нефтеюганск</c:v>
                </c:pt>
                <c:pt idx="6">
                  <c:v>Нижневартовск</c:v>
                </c:pt>
                <c:pt idx="7">
                  <c:v>Сургут</c:v>
                </c:pt>
                <c:pt idx="8">
                  <c:v>Урай</c:v>
                </c:pt>
                <c:pt idx="9">
                  <c:v>Ханты-Мансийск</c:v>
                </c:pt>
                <c:pt idx="10">
                  <c:v>Кондинский МР</c:v>
                </c:pt>
                <c:pt idx="11">
                  <c:v>Нефтеюганский МР</c:v>
                </c:pt>
                <c:pt idx="12">
                  <c:v>Нижневартовский МР</c:v>
                </c:pt>
                <c:pt idx="13">
                  <c:v>Октябрьский МР</c:v>
                </c:pt>
                <c:pt idx="14">
                  <c:v>Сургутский МР</c:v>
                </c:pt>
                <c:pt idx="15">
                  <c:v>Ханты-Мансийский МР</c:v>
                </c:pt>
                <c:pt idx="16">
                  <c:v>Югорск</c:v>
                </c:pt>
                <c:pt idx="17">
                  <c:v>Советский МР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464.1</c:v>
                </c:pt>
                <c:pt idx="1">
                  <c:v>238.2</c:v>
                </c:pt>
                <c:pt idx="2">
                  <c:v>632</c:v>
                </c:pt>
                <c:pt idx="3">
                  <c:v>70.099999999999994</c:v>
                </c:pt>
                <c:pt idx="4">
                  <c:v>43.9</c:v>
                </c:pt>
                <c:pt idx="5">
                  <c:v>104.2</c:v>
                </c:pt>
                <c:pt idx="6">
                  <c:v>879.9</c:v>
                </c:pt>
                <c:pt idx="7">
                  <c:v>650.52</c:v>
                </c:pt>
                <c:pt idx="8">
                  <c:v>587.70000000000005</c:v>
                </c:pt>
                <c:pt idx="9">
                  <c:v>2274.9</c:v>
                </c:pt>
                <c:pt idx="10">
                  <c:v>314.39999999999998</c:v>
                </c:pt>
                <c:pt idx="12">
                  <c:v>54.3</c:v>
                </c:pt>
                <c:pt idx="13">
                  <c:v>122.9</c:v>
                </c:pt>
                <c:pt idx="14">
                  <c:v>339.6</c:v>
                </c:pt>
                <c:pt idx="15">
                  <c:v>276.7</c:v>
                </c:pt>
                <c:pt idx="16">
                  <c:v>134.4</c:v>
                </c:pt>
                <c:pt idx="17">
                  <c:v>317.5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F9-416C-9286-32C253C4EB54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prstGeom prst="rect">
      <a:avLst/>
    </a:prstGeom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7832418113471775E-2"/>
          <c:y val="0.12249349043149886"/>
          <c:w val="0.9570585077831455"/>
          <c:h val="0.423176484382751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Поставлено на учет, семей
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i="0" u="none" strike="noStrike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Лист1!$A$3:$A$21</c:f>
              <c:strCache>
                <c:ptCount val="19"/>
                <c:pt idx="0">
                  <c:v> 2006 год</c:v>
                </c:pt>
                <c:pt idx="1">
                  <c:v>2007 год</c:v>
                </c:pt>
                <c:pt idx="2">
                  <c:v>2008 год</c:v>
                </c:pt>
                <c:pt idx="3">
                  <c:v>2009 год</c:v>
                </c:pt>
                <c:pt idx="4">
                  <c:v>2010 год</c:v>
                </c:pt>
                <c:pt idx="5">
                  <c:v>2011 год</c:v>
                </c:pt>
                <c:pt idx="6">
                  <c:v>2012 год</c:v>
                </c:pt>
                <c:pt idx="7">
                  <c:v>2013 год</c:v>
                </c:pt>
                <c:pt idx="8">
                  <c:v>2014 год</c:v>
                </c:pt>
                <c:pt idx="9">
                  <c:v>2015 год</c:v>
                </c:pt>
                <c:pt idx="10">
                  <c:v>2016 год</c:v>
                </c:pt>
                <c:pt idx="11">
                  <c:v>2017 год</c:v>
                </c:pt>
                <c:pt idx="12">
                  <c:v>2018 год</c:v>
                </c:pt>
                <c:pt idx="13">
                  <c:v>2019 год</c:v>
                </c:pt>
                <c:pt idx="14">
                  <c:v>2020 год</c:v>
                </c:pt>
                <c:pt idx="15">
                  <c:v>2021 год</c:v>
                </c:pt>
                <c:pt idx="16">
                  <c:v>2022 год</c:v>
                </c:pt>
                <c:pt idx="17">
                  <c:v>2023 год</c:v>
                </c:pt>
                <c:pt idx="18">
                  <c:v>2024</c:v>
                </c:pt>
              </c:strCache>
            </c:strRef>
          </c:cat>
          <c:val>
            <c:numRef>
              <c:f>Лист1!$B$3:$B$21</c:f>
              <c:numCache>
                <c:formatCode>General</c:formatCode>
                <c:ptCount val="19"/>
                <c:pt idx="0">
                  <c:v>1266</c:v>
                </c:pt>
                <c:pt idx="1">
                  <c:v>639</c:v>
                </c:pt>
                <c:pt idx="2">
                  <c:v>590</c:v>
                </c:pt>
                <c:pt idx="3">
                  <c:v>571</c:v>
                </c:pt>
                <c:pt idx="4">
                  <c:v>830</c:v>
                </c:pt>
                <c:pt idx="5">
                  <c:v>707</c:v>
                </c:pt>
                <c:pt idx="6">
                  <c:v>110</c:v>
                </c:pt>
                <c:pt idx="7">
                  <c:v>817</c:v>
                </c:pt>
                <c:pt idx="8">
                  <c:v>381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43-436D-8B2C-38B80A821BCA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Количество предоставленных субсидий, ед.
</c:v>
                </c:pt>
              </c:strCache>
            </c:strRef>
          </c:tx>
          <c:invertIfNegative val="0"/>
          <c:dLbls>
            <c:dLbl>
              <c:idx val="16"/>
              <c:tx>
                <c:rich>
                  <a:bodyPr/>
                  <a:lstStyle/>
                  <a:p>
                    <a:r>
                      <a:rPr lang="en-US"/>
                      <a:t>445</a:t>
                    </a:r>
                    <a:br>
                      <a:rPr lang="en-US"/>
                    </a:b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D43-436D-8B2C-38B80A821BC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i="0" u="none" strike="noStrike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Лист1!$A$3:$A$21</c:f>
              <c:strCache>
                <c:ptCount val="19"/>
                <c:pt idx="0">
                  <c:v> 2006 год</c:v>
                </c:pt>
                <c:pt idx="1">
                  <c:v>2007 год</c:v>
                </c:pt>
                <c:pt idx="2">
                  <c:v>2008 год</c:v>
                </c:pt>
                <c:pt idx="3">
                  <c:v>2009 год</c:v>
                </c:pt>
                <c:pt idx="4">
                  <c:v>2010 год</c:v>
                </c:pt>
                <c:pt idx="5">
                  <c:v>2011 год</c:v>
                </c:pt>
                <c:pt idx="6">
                  <c:v>2012 год</c:v>
                </c:pt>
                <c:pt idx="7">
                  <c:v>2013 год</c:v>
                </c:pt>
                <c:pt idx="8">
                  <c:v>2014 год</c:v>
                </c:pt>
                <c:pt idx="9">
                  <c:v>2015 год</c:v>
                </c:pt>
                <c:pt idx="10">
                  <c:v>2016 год</c:v>
                </c:pt>
                <c:pt idx="11">
                  <c:v>2017 год</c:v>
                </c:pt>
                <c:pt idx="12">
                  <c:v>2018 год</c:v>
                </c:pt>
                <c:pt idx="13">
                  <c:v>2019 год</c:v>
                </c:pt>
                <c:pt idx="14">
                  <c:v>2020 год</c:v>
                </c:pt>
                <c:pt idx="15">
                  <c:v>2021 год</c:v>
                </c:pt>
                <c:pt idx="16">
                  <c:v>2022 год</c:v>
                </c:pt>
                <c:pt idx="17">
                  <c:v>2023 год</c:v>
                </c:pt>
                <c:pt idx="18">
                  <c:v>2024</c:v>
                </c:pt>
              </c:strCache>
            </c:strRef>
          </c:cat>
          <c:val>
            <c:numRef>
              <c:f>Лист1!$C$3:$C$21</c:f>
              <c:numCache>
                <c:formatCode>General</c:formatCode>
                <c:ptCount val="19"/>
                <c:pt idx="0">
                  <c:v>215</c:v>
                </c:pt>
                <c:pt idx="1">
                  <c:v>364</c:v>
                </c:pt>
                <c:pt idx="2">
                  <c:v>356</c:v>
                </c:pt>
                <c:pt idx="3">
                  <c:v>154</c:v>
                </c:pt>
                <c:pt idx="4">
                  <c:v>131</c:v>
                </c:pt>
                <c:pt idx="5">
                  <c:v>496</c:v>
                </c:pt>
                <c:pt idx="6">
                  <c:v>270</c:v>
                </c:pt>
                <c:pt idx="7">
                  <c:v>171</c:v>
                </c:pt>
                <c:pt idx="8">
                  <c:v>29</c:v>
                </c:pt>
                <c:pt idx="9">
                  <c:v>171</c:v>
                </c:pt>
                <c:pt idx="10">
                  <c:v>137</c:v>
                </c:pt>
                <c:pt idx="11">
                  <c:v>59</c:v>
                </c:pt>
                <c:pt idx="12">
                  <c:v>236</c:v>
                </c:pt>
                <c:pt idx="13">
                  <c:v>500</c:v>
                </c:pt>
                <c:pt idx="14">
                  <c:v>646</c:v>
                </c:pt>
                <c:pt idx="15">
                  <c:v>395</c:v>
                </c:pt>
                <c:pt idx="16">
                  <c:v>445</c:v>
                </c:pt>
                <c:pt idx="17">
                  <c:v>107</c:v>
                </c:pt>
                <c:pt idx="18">
                  <c:v>148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D43-436D-8B2C-38B80A821B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66717312"/>
        <c:axId val="166718848"/>
      </c:barChart>
      <c:catAx>
        <c:axId val="166717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6718848"/>
        <c:crosses val="autoZero"/>
        <c:auto val="1"/>
        <c:lblAlgn val="ctr"/>
        <c:lblOffset val="100"/>
        <c:noMultiLvlLbl val="0"/>
      </c:catAx>
      <c:valAx>
        <c:axId val="1667188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66717312"/>
        <c:crosses val="autoZero"/>
        <c:crossBetween val="between"/>
      </c:valAx>
      <c:spPr>
        <a:prstGeom prst="rect">
          <a:avLst/>
        </a:prstGeom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1624854711093892"/>
          <c:y val="0.76491324892456913"/>
          <c:w val="0.76328854609580177"/>
          <c:h val="0.1247990183339749"/>
        </c:manualLayout>
      </c:layout>
      <c:overlay val="0"/>
      <c:txPr>
        <a:bodyPr/>
        <a:lstStyle/>
        <a:p>
          <a:pPr>
            <a:defRPr sz="900" b="0" i="0" u="none" strike="noStrike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prstGeom prst="rect">
      <a:avLst/>
    </a:prstGeom>
    <a:ln>
      <a:noFill/>
    </a:ln>
  </c:spPr>
  <c:txPr>
    <a:bodyPr/>
    <a:lstStyle/>
    <a:p>
      <a:pPr>
        <a:defRPr sz="1000" b="0" i="0" u="none" strike="noStrike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30A7-8EB4-44C0-9F46-C7D893EF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Пуртова Ирина Юрьевна</dc:creator>
  <cp:lastModifiedBy>Шаламова Ольга Владимировна</cp:lastModifiedBy>
  <cp:revision>4</cp:revision>
  <dcterms:created xsi:type="dcterms:W3CDTF">2024-11-15T11:58:00Z</dcterms:created>
  <dcterms:modified xsi:type="dcterms:W3CDTF">2024-11-18T12:56:00Z</dcterms:modified>
</cp:coreProperties>
</file>